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6B1" w:rsidRPr="0052054A" w:rsidRDefault="006F1F5C" w:rsidP="000536B1">
      <w:pPr>
        <w:jc w:val="center"/>
        <w:outlineLvl w:val="0"/>
        <w:rPr>
          <w:b/>
          <w:bCs/>
          <w:sz w:val="32"/>
          <w:szCs w:val="32"/>
          <w:lang w:eastAsia="zh-TW"/>
        </w:rPr>
      </w:pPr>
      <w:r>
        <w:rPr>
          <w:b/>
          <w:bCs/>
          <w:sz w:val="32"/>
          <w:szCs w:val="32"/>
        </w:rPr>
        <w:t>TDDFT Study of Electron Scattering P</w:t>
      </w:r>
      <w:r w:rsidRPr="006F1F5C">
        <w:rPr>
          <w:b/>
          <w:bCs/>
          <w:sz w:val="32"/>
          <w:szCs w:val="32"/>
        </w:rPr>
        <w:t>rocesses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6F1F5C" w:rsidRDefault="006F1F5C" w:rsidP="006F1F5C">
      <w:pPr>
        <w:ind w:firstLine="340"/>
        <w:jc w:val="center"/>
        <w:outlineLvl w:val="0"/>
        <w:rPr>
          <w:sz w:val="24"/>
          <w:szCs w:val="24"/>
        </w:rPr>
      </w:pPr>
      <w:r w:rsidRPr="006F1F5C">
        <w:rPr>
          <w:sz w:val="24"/>
          <w:szCs w:val="24"/>
          <w:u w:val="single"/>
        </w:rPr>
        <w:t>Yasumitsu Suzuki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,*</w:t>
      </w:r>
      <w:r w:rsidRPr="006F1F5C">
        <w:t xml:space="preserve"> </w:t>
      </w:r>
      <w:r w:rsidRPr="006F1F5C">
        <w:rPr>
          <w:sz w:val="24"/>
          <w:szCs w:val="24"/>
        </w:rPr>
        <w:t>Lionel Lacombe</w:t>
      </w:r>
      <w:r w:rsidR="000536B1" w:rsidRPr="00B564A2">
        <w:rPr>
          <w:sz w:val="24"/>
          <w:szCs w:val="24"/>
        </w:rPr>
        <w:t>,</w:t>
      </w:r>
      <w:r w:rsidR="00CF1B02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</w:t>
      </w:r>
      <w:r w:rsidRPr="006F1F5C">
        <w:rPr>
          <w:sz w:val="24"/>
          <w:szCs w:val="24"/>
        </w:rPr>
        <w:t>Kazuyuki Watanabe</w:t>
      </w:r>
      <w:r w:rsidRPr="00B564A2">
        <w:rPr>
          <w:sz w:val="24"/>
          <w:szCs w:val="24"/>
        </w:rPr>
        <w:t>,</w:t>
      </w:r>
      <w:r w:rsidRPr="00B564A2">
        <w:rPr>
          <w:sz w:val="24"/>
          <w:szCs w:val="24"/>
          <w:vertAlign w:val="superscript"/>
        </w:rPr>
        <w:t>1</w:t>
      </w:r>
      <w:r w:rsidRPr="006F1F5C">
        <w:rPr>
          <w:sz w:val="24"/>
          <w:szCs w:val="24"/>
        </w:rPr>
        <w:t xml:space="preserve"> </w:t>
      </w:r>
    </w:p>
    <w:p w:rsidR="000536B1" w:rsidRDefault="000536B1" w:rsidP="006F1F5C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 w:rsidRPr="00B564A2">
        <w:rPr>
          <w:sz w:val="24"/>
          <w:szCs w:val="24"/>
        </w:rPr>
        <w:t xml:space="preserve">and </w:t>
      </w:r>
      <w:r w:rsidR="006F1F5C" w:rsidRPr="006F1F5C">
        <w:rPr>
          <w:sz w:val="24"/>
          <w:szCs w:val="24"/>
        </w:rPr>
        <w:t>Neepa T. Maitra</w:t>
      </w:r>
      <w:r w:rsidR="006F1F5C">
        <w:rPr>
          <w:sz w:val="24"/>
          <w:szCs w:val="24"/>
          <w:vertAlign w:val="superscript"/>
        </w:rPr>
        <w:t>2</w:t>
      </w:r>
    </w:p>
    <w:p w:rsidR="000536B1" w:rsidRPr="00B564A2" w:rsidRDefault="000536B1" w:rsidP="000536B1">
      <w:pPr>
        <w:ind w:firstLine="340"/>
        <w:jc w:val="center"/>
        <w:rPr>
          <w:sz w:val="24"/>
          <w:szCs w:val="24"/>
        </w:rPr>
      </w:pPr>
    </w:p>
    <w:p w:rsidR="006F1F5C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1</w:t>
      </w:r>
      <w:r w:rsidR="006F1F5C" w:rsidRPr="006F1F5C">
        <w:rPr>
          <w:i/>
          <w:iCs/>
          <w:sz w:val="24"/>
          <w:szCs w:val="24"/>
        </w:rPr>
        <w:t xml:space="preserve">Department of Physics, Tokyo University of Science, </w:t>
      </w:r>
    </w:p>
    <w:p w:rsidR="000536B1" w:rsidRPr="00B564A2" w:rsidRDefault="006F1F5C" w:rsidP="000536B1">
      <w:pPr>
        <w:ind w:firstLine="340"/>
        <w:jc w:val="center"/>
        <w:rPr>
          <w:i/>
          <w:iCs/>
          <w:sz w:val="24"/>
          <w:szCs w:val="24"/>
        </w:rPr>
      </w:pPr>
      <w:r w:rsidRPr="006F1F5C">
        <w:rPr>
          <w:i/>
          <w:iCs/>
          <w:sz w:val="24"/>
          <w:szCs w:val="24"/>
        </w:rPr>
        <w:t>1–3 Kagurazaka, Shinjuku-ku, Tokyo 162-8601, Japan</w:t>
      </w:r>
    </w:p>
    <w:p w:rsidR="006F1F5C" w:rsidRDefault="000536B1" w:rsidP="000536B1">
      <w:pPr>
        <w:ind w:firstLine="340"/>
        <w:jc w:val="center"/>
        <w:rPr>
          <w:i/>
          <w:iCs/>
          <w:sz w:val="24"/>
          <w:szCs w:val="24"/>
        </w:rPr>
      </w:pPr>
      <w:r w:rsidRPr="00B564A2">
        <w:rPr>
          <w:i/>
          <w:iCs/>
          <w:sz w:val="24"/>
          <w:szCs w:val="24"/>
          <w:vertAlign w:val="superscript"/>
        </w:rPr>
        <w:t>2</w:t>
      </w:r>
      <w:r w:rsidR="006F1F5C" w:rsidRPr="006F1F5C">
        <w:rPr>
          <w:i/>
          <w:iCs/>
          <w:sz w:val="24"/>
          <w:szCs w:val="24"/>
        </w:rPr>
        <w:t xml:space="preserve">Department of Physics and Astronomy, Hunter College and the Graduate Center of the City University of New York, </w:t>
      </w:r>
    </w:p>
    <w:p w:rsidR="000536B1" w:rsidRPr="00B564A2" w:rsidRDefault="006F1F5C" w:rsidP="000536B1">
      <w:pPr>
        <w:ind w:firstLine="340"/>
        <w:jc w:val="center"/>
        <w:rPr>
          <w:sz w:val="24"/>
          <w:szCs w:val="24"/>
        </w:rPr>
      </w:pPr>
      <w:r w:rsidRPr="006F1F5C">
        <w:rPr>
          <w:i/>
          <w:iCs/>
          <w:sz w:val="24"/>
          <w:szCs w:val="24"/>
        </w:rPr>
        <w:t>695 Park Avenue, New York, New York 10065, USA</w:t>
      </w:r>
    </w:p>
    <w:p w:rsid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</w:p>
    <w:p w:rsidR="00CF1B02" w:rsidRPr="00CF1B02" w:rsidRDefault="00CF1B02" w:rsidP="00CF1B02">
      <w:pPr>
        <w:pStyle w:val="Addresses"/>
        <w:jc w:val="center"/>
        <w:rPr>
          <w:rFonts w:eastAsia="Malgun Gothic"/>
          <w:lang w:eastAsia="ko-KR"/>
        </w:rPr>
      </w:pPr>
      <w:r>
        <w:rPr>
          <w:vertAlign w:val="superscript"/>
        </w:rPr>
        <w:t xml:space="preserve">*  </w:t>
      </w:r>
      <w:r w:rsidR="000459E8" w:rsidRPr="00CF1B02">
        <w:rPr>
          <w:rFonts w:eastAsia="Malgun Gothic" w:hint="eastAsia"/>
          <w:lang w:eastAsia="ko-KR"/>
        </w:rPr>
        <w:t xml:space="preserve">E-mail: </w:t>
      </w:r>
      <w:r w:rsidR="000459E8" w:rsidRPr="000459E8">
        <w:rPr>
          <w:rFonts w:ascii="Times" w:hAnsi="Times"/>
          <w:color w:val="0000FF"/>
          <w:u w:val="single"/>
        </w:rPr>
        <w:t>yasumitsu.suzuki</w:t>
      </w:r>
      <w:r w:rsidR="000459E8" w:rsidRPr="008C2357">
        <w:rPr>
          <w:rFonts w:ascii="Times" w:hAnsi="Times" w:hint="eastAsia"/>
          <w:color w:val="0000FF"/>
          <w:u w:val="single"/>
        </w:rPr>
        <w:t>@</w:t>
      </w:r>
      <w:r w:rsidR="000459E8" w:rsidRPr="000459E8">
        <w:rPr>
          <w:rFonts w:ascii="Times" w:hAnsi="Times"/>
          <w:color w:val="0000FF"/>
          <w:u w:val="single"/>
        </w:rPr>
        <w:t>rs.tus.ac.jp</w:t>
      </w:r>
    </w:p>
    <w:p w:rsidR="000536B1" w:rsidRPr="00B564A2" w:rsidRDefault="000536B1" w:rsidP="00692530">
      <w:pPr>
        <w:rPr>
          <w:sz w:val="24"/>
          <w:szCs w:val="24"/>
        </w:rPr>
      </w:pPr>
    </w:p>
    <w:p w:rsidR="008B0D58" w:rsidRDefault="005B0D0F" w:rsidP="000536B1">
      <w:pPr>
        <w:rPr>
          <w:sz w:val="24"/>
          <w:szCs w:val="24"/>
        </w:rPr>
      </w:pPr>
      <w:r w:rsidRPr="005B0D0F">
        <w:rPr>
          <w:sz w:val="24"/>
          <w:szCs w:val="24"/>
        </w:rPr>
        <w:t xml:space="preserve">Time-dependent density functional theory (TDDFT) is </w:t>
      </w:r>
      <w:r w:rsidR="008B0D58">
        <w:rPr>
          <w:sz w:val="24"/>
          <w:szCs w:val="24"/>
        </w:rPr>
        <w:t>the most widely used first principles approach to study real-time</w:t>
      </w:r>
      <w:bookmarkStart w:id="0" w:name="_GoBack"/>
      <w:bookmarkEnd w:id="0"/>
      <w:r w:rsidR="008B0D58">
        <w:rPr>
          <w:sz w:val="24"/>
          <w:szCs w:val="24"/>
        </w:rPr>
        <w:t xml:space="preserve"> many-</w:t>
      </w:r>
      <w:r w:rsidRPr="005B0D0F">
        <w:rPr>
          <w:sz w:val="24"/>
          <w:szCs w:val="24"/>
        </w:rPr>
        <w:t>electron dynamics.</w:t>
      </w:r>
      <w:r w:rsidR="008B0D58">
        <w:rPr>
          <w:sz w:val="24"/>
          <w:szCs w:val="24"/>
        </w:rPr>
        <w:t xml:space="preserve"> TDDFT with approximate exchange-correlation (XC) potentilas has been successfully applied to interpret and predict electron dynamics in a range of situations. Recently, it has been applied to </w:t>
      </w:r>
      <w:r w:rsidR="00C257F2">
        <w:rPr>
          <w:sz w:val="24"/>
          <w:szCs w:val="24"/>
        </w:rPr>
        <w:t xml:space="preserve">the real-time nonperturbative calculations of electron wave packet scattering from </w:t>
      </w:r>
      <w:r w:rsidR="00501110" w:rsidRPr="00501110">
        <w:rPr>
          <w:sz w:val="24"/>
          <w:szCs w:val="24"/>
        </w:rPr>
        <w:t>atomic layer material</w:t>
      </w:r>
      <w:r w:rsidR="00501110">
        <w:rPr>
          <w:sz w:val="24"/>
          <w:szCs w:val="24"/>
        </w:rPr>
        <w:t>s [1-5]</w:t>
      </w:r>
      <w:r w:rsidR="00C257F2">
        <w:rPr>
          <w:sz w:val="24"/>
          <w:szCs w:val="24"/>
        </w:rPr>
        <w:t xml:space="preserve">.  </w:t>
      </w:r>
    </w:p>
    <w:p w:rsidR="008B0D58" w:rsidRDefault="008B0D58" w:rsidP="000536B1">
      <w:pPr>
        <w:rPr>
          <w:sz w:val="24"/>
          <w:szCs w:val="24"/>
        </w:rPr>
      </w:pPr>
    </w:p>
    <w:p w:rsidR="00501110" w:rsidRDefault="00106345" w:rsidP="000536B1">
      <w:pPr>
        <w:rPr>
          <w:rFonts w:eastAsia="游明朝" w:hint="eastAsia"/>
          <w:sz w:val="24"/>
          <w:szCs w:val="24"/>
          <w:lang w:eastAsia="ja-JP"/>
        </w:rPr>
      </w:pPr>
      <w:r>
        <w:rPr>
          <w:rFonts w:eastAsia="游明朝" w:hint="eastAsia"/>
          <w:sz w:val="24"/>
          <w:szCs w:val="24"/>
          <w:lang w:eastAsia="ja-JP"/>
        </w:rPr>
        <w:t>However,</w:t>
      </w:r>
      <w:r>
        <w:rPr>
          <w:rFonts w:eastAsia="游明朝"/>
          <w:sz w:val="24"/>
          <w:szCs w:val="24"/>
          <w:lang w:eastAsia="ja-JP"/>
        </w:rPr>
        <w:t xml:space="preserve"> it is known that TDDFT with approximate XC potentials fails to even qualitatively reproduce the true dynamics in some applications to nonlinear time-resolved dynamics. In this study</w:t>
      </w:r>
      <w:r w:rsidR="00692530">
        <w:rPr>
          <w:rFonts w:eastAsia="游明朝"/>
          <w:sz w:val="24"/>
          <w:szCs w:val="24"/>
          <w:lang w:eastAsia="ja-JP"/>
        </w:rPr>
        <w:t xml:space="preserve"> [6, 7]</w:t>
      </w:r>
      <w:r>
        <w:rPr>
          <w:rFonts w:eastAsia="游明朝"/>
          <w:sz w:val="24"/>
          <w:szCs w:val="24"/>
          <w:lang w:eastAsia="ja-JP"/>
        </w:rPr>
        <w:t xml:space="preserve">, we </w:t>
      </w:r>
      <w:r w:rsidR="00D611DD">
        <w:rPr>
          <w:rFonts w:eastAsia="游明朝"/>
          <w:sz w:val="24"/>
          <w:szCs w:val="24"/>
          <w:lang w:eastAsia="ja-JP"/>
        </w:rPr>
        <w:t>address</w:t>
      </w:r>
      <w:r>
        <w:rPr>
          <w:rFonts w:eastAsia="游明朝"/>
          <w:sz w:val="24"/>
          <w:szCs w:val="24"/>
          <w:lang w:eastAsia="ja-JP"/>
        </w:rPr>
        <w:t xml:space="preserve"> the question how </w:t>
      </w:r>
      <w:r w:rsidR="00D611DD">
        <w:rPr>
          <w:rFonts w:eastAsia="游明朝"/>
          <w:sz w:val="24"/>
          <w:szCs w:val="24"/>
          <w:lang w:eastAsia="ja-JP"/>
        </w:rPr>
        <w:t xml:space="preserve">accurate </w:t>
      </w:r>
      <w:r>
        <w:rPr>
          <w:rFonts w:eastAsia="游明朝"/>
          <w:sz w:val="24"/>
          <w:szCs w:val="24"/>
          <w:lang w:eastAsia="ja-JP"/>
        </w:rPr>
        <w:t xml:space="preserve">TDDFT with </w:t>
      </w:r>
      <w:r w:rsidR="00D611DD">
        <w:rPr>
          <w:rFonts w:eastAsia="游明朝"/>
          <w:sz w:val="24"/>
          <w:szCs w:val="24"/>
          <w:lang w:eastAsia="ja-JP"/>
        </w:rPr>
        <w:t>the currently available approximate XC potentials is for electron scattering. To this end, we have studied model systems of electron-H and electron-He</w:t>
      </w:r>
      <w:r w:rsidR="00D611DD">
        <w:rPr>
          <w:rFonts w:eastAsia="游明朝"/>
          <w:sz w:val="24"/>
          <w:szCs w:val="24"/>
          <w:vertAlign w:val="superscript"/>
          <w:lang w:eastAsia="ja-JP"/>
        </w:rPr>
        <w:t>+</w:t>
      </w:r>
      <w:r w:rsidR="00D611DD">
        <w:rPr>
          <w:rFonts w:eastAsia="游明朝"/>
          <w:sz w:val="24"/>
          <w:szCs w:val="24"/>
          <w:lang w:eastAsia="ja-JP"/>
        </w:rPr>
        <w:t xml:space="preserve">  scattering that can be exactly solved numerically. </w:t>
      </w:r>
    </w:p>
    <w:p w:rsidR="00106345" w:rsidRPr="00D611DD" w:rsidRDefault="00106345" w:rsidP="000536B1">
      <w:pPr>
        <w:rPr>
          <w:rFonts w:eastAsia="游明朝" w:hint="eastAsia"/>
          <w:sz w:val="24"/>
          <w:szCs w:val="24"/>
          <w:lang w:eastAsia="ja-JP"/>
        </w:rPr>
      </w:pPr>
    </w:p>
    <w:p w:rsidR="00F835A8" w:rsidRDefault="007B01E6" w:rsidP="000536B1">
      <w:pPr>
        <w:rPr>
          <w:sz w:val="24"/>
          <w:szCs w:val="24"/>
        </w:rPr>
      </w:pPr>
      <w:r w:rsidRPr="007B01E6">
        <w:rPr>
          <w:sz w:val="24"/>
          <w:szCs w:val="24"/>
        </w:rPr>
        <w:t xml:space="preserve">We </w:t>
      </w:r>
      <w:r w:rsidR="00692530">
        <w:rPr>
          <w:sz w:val="24"/>
          <w:szCs w:val="24"/>
        </w:rPr>
        <w:t>have identified</w:t>
      </w:r>
      <w:r w:rsidRPr="007B01E6">
        <w:rPr>
          <w:sz w:val="24"/>
          <w:szCs w:val="24"/>
        </w:rPr>
        <w:t xml:space="preserve"> peak and valley structures i</w:t>
      </w:r>
      <w:r w:rsidR="00692530">
        <w:rPr>
          <w:sz w:val="24"/>
          <w:szCs w:val="24"/>
        </w:rPr>
        <w:t>n the exact XC</w:t>
      </w:r>
      <w:r w:rsidRPr="007B01E6">
        <w:rPr>
          <w:sz w:val="24"/>
          <w:szCs w:val="24"/>
        </w:rPr>
        <w:t xml:space="preserve"> potential that are crucial for </w:t>
      </w:r>
      <w:r w:rsidR="00692530" w:rsidRPr="00692530">
        <w:rPr>
          <w:sz w:val="24"/>
          <w:szCs w:val="24"/>
        </w:rPr>
        <w:t>accurately capturing time-resolved dynamics of electron scattering</w:t>
      </w:r>
      <w:r w:rsidR="000459E8">
        <w:rPr>
          <w:sz w:val="24"/>
          <w:szCs w:val="24"/>
        </w:rPr>
        <w:t xml:space="preserve"> [6, 7]</w:t>
      </w:r>
      <w:r w:rsidR="00692530">
        <w:rPr>
          <w:sz w:val="24"/>
          <w:szCs w:val="24"/>
        </w:rPr>
        <w:t>.</w:t>
      </w:r>
      <w:r w:rsidR="00692530" w:rsidRPr="00692530">
        <w:t xml:space="preserve"> </w:t>
      </w:r>
      <w:r w:rsidR="00692530" w:rsidRPr="00692530">
        <w:rPr>
          <w:sz w:val="24"/>
          <w:szCs w:val="24"/>
        </w:rPr>
        <w:t>Approximate functionals used today miss these structures and consequently underestimate the scattering probability.</w:t>
      </w:r>
      <w:r w:rsidR="00692530">
        <w:rPr>
          <w:sz w:val="24"/>
          <w:szCs w:val="24"/>
        </w:rPr>
        <w:t xml:space="preserve"> </w:t>
      </w:r>
      <w:r w:rsidR="00692530" w:rsidRPr="00692530">
        <w:rPr>
          <w:sz w:val="24"/>
          <w:szCs w:val="24"/>
        </w:rPr>
        <w:t>The dynamics can vary significantly depending on the choice of the initial Kohn-Sham state</w:t>
      </w:r>
      <w:r w:rsidR="00692530">
        <w:rPr>
          <w:sz w:val="24"/>
          <w:szCs w:val="24"/>
        </w:rPr>
        <w:t xml:space="preserve">. </w:t>
      </w:r>
      <w:r w:rsidR="000459E8">
        <w:rPr>
          <w:sz w:val="24"/>
          <w:szCs w:val="24"/>
        </w:rPr>
        <w:t>A recently prop</w:t>
      </w:r>
      <w:r w:rsidRPr="007B01E6">
        <w:rPr>
          <w:sz w:val="24"/>
          <w:szCs w:val="24"/>
        </w:rPr>
        <w:t xml:space="preserve">sed nonadiabatic approximation is shown to correctly capture the approach of the electron to the target when the initial Kohn-Sham state is chosen judiciously, and it is more accurate than standard adiabatic functionals but ultimately fails to accurately capture reflection. </w:t>
      </w:r>
      <w:r w:rsidR="00692530" w:rsidRPr="00692530">
        <w:rPr>
          <w:sz w:val="24"/>
          <w:szCs w:val="24"/>
        </w:rPr>
        <w:t>These results may explain the underestimation of scattering probabilities in some recent studies on molecules and surfaces.</w:t>
      </w:r>
    </w:p>
    <w:p w:rsidR="00692530" w:rsidRDefault="00692530" w:rsidP="000536B1">
      <w:pPr>
        <w:rPr>
          <w:sz w:val="24"/>
          <w:szCs w:val="24"/>
        </w:rPr>
      </w:pPr>
    </w:p>
    <w:p w:rsidR="00501110" w:rsidRPr="00501110" w:rsidRDefault="00501110" w:rsidP="00501110">
      <w:pPr>
        <w:pStyle w:val="ab"/>
        <w:numPr>
          <w:ilvl w:val="0"/>
          <w:numId w:val="4"/>
        </w:numPr>
        <w:ind w:leftChars="0"/>
        <w:rPr>
          <w:rFonts w:eastAsia="游明朝"/>
          <w:sz w:val="24"/>
          <w:szCs w:val="24"/>
          <w:lang w:eastAsia="ja-JP"/>
        </w:rPr>
      </w:pPr>
      <w:r w:rsidRPr="00501110">
        <w:rPr>
          <w:rFonts w:eastAsia="游明朝" w:hint="eastAsia"/>
          <w:sz w:val="24"/>
          <w:szCs w:val="24"/>
          <w:lang w:eastAsia="ja-JP"/>
        </w:rPr>
        <w:t xml:space="preserve">K. Tsubonoya, C. Hu, and K. </w:t>
      </w:r>
      <w:r w:rsidRPr="00501110">
        <w:rPr>
          <w:rFonts w:eastAsia="游明朝"/>
          <w:sz w:val="24"/>
          <w:szCs w:val="24"/>
          <w:lang w:eastAsia="ja-JP"/>
        </w:rPr>
        <w:t xml:space="preserve">Watanabe, </w:t>
      </w:r>
      <w:r>
        <w:rPr>
          <w:rFonts w:eastAsia="游明朝"/>
          <w:sz w:val="24"/>
          <w:szCs w:val="24"/>
          <w:lang w:eastAsia="ja-JP"/>
        </w:rPr>
        <w:t xml:space="preserve">Phys. Rev. B </w:t>
      </w:r>
      <w:r w:rsidRPr="00501110">
        <w:rPr>
          <w:rFonts w:eastAsia="游明朝"/>
          <w:b/>
          <w:sz w:val="24"/>
          <w:szCs w:val="24"/>
          <w:lang w:eastAsia="ja-JP"/>
        </w:rPr>
        <w:t>90</w:t>
      </w:r>
      <w:r>
        <w:rPr>
          <w:rFonts w:eastAsia="游明朝"/>
          <w:sz w:val="24"/>
          <w:szCs w:val="24"/>
          <w:lang w:eastAsia="ja-JP"/>
        </w:rPr>
        <w:t>, 035416 (2014</w:t>
      </w:r>
      <w:r w:rsidRPr="00501110">
        <w:rPr>
          <w:rFonts w:eastAsia="游明朝"/>
          <w:sz w:val="24"/>
          <w:szCs w:val="24"/>
          <w:lang w:eastAsia="ja-JP"/>
        </w:rPr>
        <w:t>).</w:t>
      </w:r>
    </w:p>
    <w:p w:rsidR="00501110" w:rsidRPr="00501110" w:rsidRDefault="00501110" w:rsidP="00501110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 w:rsidRPr="00501110">
        <w:rPr>
          <w:sz w:val="24"/>
          <w:szCs w:val="24"/>
        </w:rPr>
        <w:t xml:space="preserve">Y. Ueda, Y. Suzuki, </w:t>
      </w:r>
      <w:r>
        <w:rPr>
          <w:sz w:val="24"/>
          <w:szCs w:val="24"/>
        </w:rPr>
        <w:t xml:space="preserve">and K. Watanabe, Phys. Rev. B </w:t>
      </w:r>
      <w:r w:rsidRPr="00501110">
        <w:rPr>
          <w:b/>
          <w:sz w:val="24"/>
          <w:szCs w:val="24"/>
        </w:rPr>
        <w:t>94</w:t>
      </w:r>
      <w:r w:rsidRPr="00501110">
        <w:rPr>
          <w:sz w:val="24"/>
          <w:szCs w:val="24"/>
        </w:rPr>
        <w:t xml:space="preserve">, </w:t>
      </w:r>
      <w:r>
        <w:rPr>
          <w:sz w:val="24"/>
          <w:szCs w:val="24"/>
        </w:rPr>
        <w:t>035403 (2016</w:t>
      </w:r>
      <w:r w:rsidRPr="00501110">
        <w:rPr>
          <w:sz w:val="24"/>
          <w:szCs w:val="24"/>
        </w:rPr>
        <w:t>).</w:t>
      </w:r>
    </w:p>
    <w:p w:rsidR="00501110" w:rsidRDefault="00501110" w:rsidP="00501110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 w:rsidRPr="00501110">
        <w:rPr>
          <w:sz w:val="24"/>
          <w:szCs w:val="24"/>
        </w:rPr>
        <w:t>H</w:t>
      </w:r>
      <w:r>
        <w:rPr>
          <w:sz w:val="24"/>
          <w:szCs w:val="24"/>
        </w:rPr>
        <w:t>. Miyauchi, Y. Ueda, Y. Suzuki, and K.</w:t>
      </w:r>
      <w:r w:rsidRPr="00501110">
        <w:rPr>
          <w:sz w:val="24"/>
          <w:szCs w:val="24"/>
        </w:rPr>
        <w:t xml:space="preserve"> Watanabe</w:t>
      </w:r>
      <w:r>
        <w:rPr>
          <w:sz w:val="24"/>
          <w:szCs w:val="24"/>
        </w:rPr>
        <w:t xml:space="preserve">, Phys. Rev. B </w:t>
      </w:r>
      <w:r w:rsidRPr="00501110">
        <w:rPr>
          <w:b/>
          <w:sz w:val="24"/>
          <w:szCs w:val="24"/>
        </w:rPr>
        <w:t>95</w:t>
      </w:r>
      <w:r>
        <w:rPr>
          <w:sz w:val="24"/>
          <w:szCs w:val="24"/>
        </w:rPr>
        <w:t>, 125425 (2017</w:t>
      </w:r>
      <w:r w:rsidRPr="00501110">
        <w:rPr>
          <w:sz w:val="24"/>
          <w:szCs w:val="24"/>
        </w:rPr>
        <w:t>).</w:t>
      </w:r>
    </w:p>
    <w:p w:rsidR="00F835A8" w:rsidRDefault="00F835A8" w:rsidP="00F835A8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Y. Ueda, Y. Suzuki, and K.</w:t>
      </w:r>
      <w:r w:rsidRPr="00F835A8">
        <w:rPr>
          <w:sz w:val="24"/>
          <w:szCs w:val="24"/>
        </w:rPr>
        <w:t xml:space="preserve"> Watanabe</w:t>
      </w:r>
      <w:r>
        <w:rPr>
          <w:sz w:val="24"/>
          <w:szCs w:val="24"/>
        </w:rPr>
        <w:t xml:space="preserve">, Phys. Rev. B </w:t>
      </w:r>
      <w:r w:rsidRPr="00F835A8">
        <w:rPr>
          <w:b/>
          <w:sz w:val="24"/>
          <w:szCs w:val="24"/>
        </w:rPr>
        <w:t>97</w:t>
      </w:r>
      <w:r>
        <w:rPr>
          <w:sz w:val="24"/>
          <w:szCs w:val="24"/>
        </w:rPr>
        <w:t>, 075406</w:t>
      </w:r>
      <w:r w:rsidRPr="00F835A8">
        <w:rPr>
          <w:sz w:val="24"/>
          <w:szCs w:val="24"/>
        </w:rPr>
        <w:t xml:space="preserve"> (2018)</w:t>
      </w:r>
      <w:r>
        <w:rPr>
          <w:sz w:val="24"/>
          <w:szCs w:val="24"/>
        </w:rPr>
        <w:t>.</w:t>
      </w:r>
    </w:p>
    <w:p w:rsidR="00501110" w:rsidRPr="00F835A8" w:rsidRDefault="00501110" w:rsidP="00501110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 w:rsidRPr="00501110">
        <w:rPr>
          <w:sz w:val="24"/>
          <w:szCs w:val="24"/>
        </w:rPr>
        <w:t>Y. Ueda, Y. Suzuki, and K. Watanabe,</w:t>
      </w:r>
      <w:r>
        <w:rPr>
          <w:sz w:val="24"/>
          <w:szCs w:val="24"/>
        </w:rPr>
        <w:t xml:space="preserve"> Appl. Phys. Express </w:t>
      </w:r>
      <w:r w:rsidRPr="00501110">
        <w:rPr>
          <w:b/>
          <w:sz w:val="24"/>
          <w:szCs w:val="24"/>
        </w:rPr>
        <w:t>11</w:t>
      </w:r>
      <w:r>
        <w:rPr>
          <w:sz w:val="24"/>
          <w:szCs w:val="24"/>
        </w:rPr>
        <w:t>, 105101</w:t>
      </w:r>
      <w:r w:rsidRPr="00501110">
        <w:rPr>
          <w:sz w:val="24"/>
          <w:szCs w:val="24"/>
        </w:rPr>
        <w:t xml:space="preserve"> (2018).</w:t>
      </w:r>
    </w:p>
    <w:p w:rsidR="00F835A8" w:rsidRDefault="00F835A8" w:rsidP="00F835A8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 w:rsidRPr="00F835A8">
        <w:rPr>
          <w:sz w:val="24"/>
          <w:szCs w:val="24"/>
        </w:rPr>
        <w:t>Y</w:t>
      </w:r>
      <w:r>
        <w:rPr>
          <w:sz w:val="24"/>
          <w:szCs w:val="24"/>
        </w:rPr>
        <w:t>. Suzuki, L. Lacombe, K. Watanabe, and N.</w:t>
      </w:r>
      <w:r w:rsidRPr="00F835A8">
        <w:rPr>
          <w:sz w:val="24"/>
          <w:szCs w:val="24"/>
        </w:rPr>
        <w:t xml:space="preserve"> T. Maitra</w:t>
      </w:r>
      <w:r>
        <w:rPr>
          <w:sz w:val="24"/>
          <w:szCs w:val="24"/>
        </w:rPr>
        <w:t xml:space="preserve">, Phys. Rev. Lett. </w:t>
      </w:r>
      <w:r w:rsidRPr="00F835A8">
        <w:rPr>
          <w:b/>
          <w:sz w:val="24"/>
          <w:szCs w:val="24"/>
        </w:rPr>
        <w:t>119</w:t>
      </w:r>
      <w:r>
        <w:rPr>
          <w:sz w:val="24"/>
          <w:szCs w:val="24"/>
        </w:rPr>
        <w:t>, 263401</w:t>
      </w:r>
      <w:r w:rsidRPr="00F835A8">
        <w:rPr>
          <w:sz w:val="24"/>
          <w:szCs w:val="24"/>
        </w:rPr>
        <w:t xml:space="preserve"> (2017).</w:t>
      </w:r>
    </w:p>
    <w:p w:rsidR="00F835A8" w:rsidRPr="00F835A8" w:rsidRDefault="00F835A8" w:rsidP="00F835A8">
      <w:pPr>
        <w:pStyle w:val="ab"/>
        <w:numPr>
          <w:ilvl w:val="0"/>
          <w:numId w:val="4"/>
        </w:numPr>
        <w:ind w:leftChars="0"/>
        <w:rPr>
          <w:sz w:val="24"/>
          <w:szCs w:val="24"/>
        </w:rPr>
      </w:pPr>
      <w:r w:rsidRPr="00F835A8">
        <w:rPr>
          <w:sz w:val="24"/>
          <w:szCs w:val="24"/>
        </w:rPr>
        <w:t>L. Lacombe, Y. Suzuki,</w:t>
      </w:r>
      <w:r>
        <w:rPr>
          <w:sz w:val="24"/>
          <w:szCs w:val="24"/>
        </w:rPr>
        <w:t xml:space="preserve"> </w:t>
      </w:r>
      <w:r w:rsidRPr="00F835A8">
        <w:rPr>
          <w:sz w:val="24"/>
          <w:szCs w:val="24"/>
        </w:rPr>
        <w:t>K. Watanabe, and N. T. Maitra,</w:t>
      </w:r>
      <w:r>
        <w:rPr>
          <w:sz w:val="24"/>
          <w:szCs w:val="24"/>
        </w:rPr>
        <w:t xml:space="preserve"> Eur. Phys. J. B </w:t>
      </w:r>
      <w:r w:rsidRPr="00F835A8">
        <w:rPr>
          <w:b/>
          <w:sz w:val="24"/>
          <w:szCs w:val="24"/>
        </w:rPr>
        <w:t>91</w:t>
      </w:r>
      <w:r>
        <w:rPr>
          <w:sz w:val="24"/>
          <w:szCs w:val="24"/>
        </w:rPr>
        <w:t>,</w:t>
      </w:r>
      <w:r w:rsidRPr="00F835A8">
        <w:rPr>
          <w:sz w:val="24"/>
          <w:szCs w:val="24"/>
        </w:rPr>
        <w:t xml:space="preserve"> 96</w:t>
      </w:r>
      <w:r>
        <w:rPr>
          <w:sz w:val="24"/>
          <w:szCs w:val="24"/>
        </w:rPr>
        <w:t xml:space="preserve"> (2018).</w:t>
      </w:r>
    </w:p>
    <w:p w:rsidR="00701806" w:rsidRDefault="00701806"/>
    <w:sectPr w:rsidR="00701806" w:rsidSect="006F5984">
      <w:headerReference w:type="default" r:id="rId7"/>
      <w:footerReference w:type="default" r:id="rId8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AB" w:rsidRDefault="00142FAB">
      <w:r>
        <w:separator/>
      </w:r>
    </w:p>
  </w:endnote>
  <w:endnote w:type="continuationSeparator" w:id="0">
    <w:p w:rsidR="00142FAB" w:rsidRDefault="0014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984" w:rsidRDefault="006F5984">
    <w:pPr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AB" w:rsidRDefault="00142FAB">
      <w:r>
        <w:separator/>
      </w:r>
    </w:p>
  </w:footnote>
  <w:footnote w:type="continuationSeparator" w:id="0">
    <w:p w:rsidR="00142FAB" w:rsidRDefault="00142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ACD" w:rsidRDefault="00461ACD" w:rsidP="00461AC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D974BA"/>
    <w:multiLevelType w:val="hybridMultilevel"/>
    <w:tmpl w:val="BF56F3DE"/>
    <w:lvl w:ilvl="0" w:tplc="F55E989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B1"/>
    <w:rsid w:val="000459E8"/>
    <w:rsid w:val="000536B1"/>
    <w:rsid w:val="000810B3"/>
    <w:rsid w:val="00106345"/>
    <w:rsid w:val="00142FAB"/>
    <w:rsid w:val="001B1483"/>
    <w:rsid w:val="001C185F"/>
    <w:rsid w:val="001C6173"/>
    <w:rsid w:val="0024600D"/>
    <w:rsid w:val="00255054"/>
    <w:rsid w:val="0027021A"/>
    <w:rsid w:val="0031101C"/>
    <w:rsid w:val="003A5E28"/>
    <w:rsid w:val="00461ACD"/>
    <w:rsid w:val="00487B7B"/>
    <w:rsid w:val="00501110"/>
    <w:rsid w:val="00506870"/>
    <w:rsid w:val="005B0D0F"/>
    <w:rsid w:val="00614F9D"/>
    <w:rsid w:val="00615ADD"/>
    <w:rsid w:val="00616DD5"/>
    <w:rsid w:val="00662421"/>
    <w:rsid w:val="006726C9"/>
    <w:rsid w:val="00692530"/>
    <w:rsid w:val="006A3327"/>
    <w:rsid w:val="006F1F5C"/>
    <w:rsid w:val="006F5984"/>
    <w:rsid w:val="00701806"/>
    <w:rsid w:val="007B01E6"/>
    <w:rsid w:val="007F5B4F"/>
    <w:rsid w:val="00834E39"/>
    <w:rsid w:val="008B0D58"/>
    <w:rsid w:val="0090048D"/>
    <w:rsid w:val="009730D8"/>
    <w:rsid w:val="009B28CB"/>
    <w:rsid w:val="009F2E77"/>
    <w:rsid w:val="00A04E8A"/>
    <w:rsid w:val="00B03727"/>
    <w:rsid w:val="00B571E0"/>
    <w:rsid w:val="00C004AC"/>
    <w:rsid w:val="00C16377"/>
    <w:rsid w:val="00C257F2"/>
    <w:rsid w:val="00C547DF"/>
    <w:rsid w:val="00C93A9D"/>
    <w:rsid w:val="00CE1C5B"/>
    <w:rsid w:val="00CE1F57"/>
    <w:rsid w:val="00CF1B02"/>
    <w:rsid w:val="00D611DD"/>
    <w:rsid w:val="00DD220D"/>
    <w:rsid w:val="00F40767"/>
    <w:rsid w:val="00F835A8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37B183"/>
  <w14:defaultImageDpi w14:val="300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ＭＳ 明朝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a4">
    <w:name w:val="吹き出し (文字)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5">
    <w:name w:val="header"/>
    <w:basedOn w:val="a"/>
    <w:link w:val="a6"/>
    <w:uiPriority w:val="99"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link w:val="a5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7">
    <w:name w:val="footer"/>
    <w:basedOn w:val="a"/>
    <w:link w:val="a8"/>
    <w:uiPriority w:val="99"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link w:val="a7"/>
    <w:uiPriority w:val="99"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9">
    <w:name w:val="Hyperlink"/>
    <w:uiPriority w:val="99"/>
    <w:unhideWhenUsed/>
    <w:rsid w:val="00461ACD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ＭＳ 明朝"/>
      <w:noProof w:val="0"/>
      <w:sz w:val="24"/>
      <w:szCs w:val="24"/>
      <w:lang w:eastAsia="ja-JP"/>
    </w:rPr>
  </w:style>
  <w:style w:type="paragraph" w:styleId="ab">
    <w:name w:val="List Paragraph"/>
    <w:basedOn w:val="a"/>
    <w:uiPriority w:val="72"/>
    <w:qFormat/>
    <w:rsid w:val="00F835A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2668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ysuzuki</cp:lastModifiedBy>
  <cp:revision>8</cp:revision>
  <cp:lastPrinted>2012-08-01T05:35:00Z</cp:lastPrinted>
  <dcterms:created xsi:type="dcterms:W3CDTF">2018-09-27T09:11:00Z</dcterms:created>
  <dcterms:modified xsi:type="dcterms:W3CDTF">2018-09-27T13:18:00Z</dcterms:modified>
  <cp:category/>
</cp:coreProperties>
</file>