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0F62" w14:textId="6BE82039" w:rsidR="00A2000E" w:rsidRPr="001C185F" w:rsidRDefault="00A2000E" w:rsidP="00A2000E">
      <w:pPr>
        <w:ind w:firstLine="340"/>
        <w:jc w:val="center"/>
        <w:outlineLvl w:val="0"/>
        <w:rPr>
          <w:b/>
          <w:bCs/>
          <w:sz w:val="32"/>
          <w:szCs w:val="32"/>
        </w:rPr>
      </w:pPr>
      <w:r w:rsidRPr="00A2000E">
        <w:rPr>
          <w:b/>
          <w:bCs/>
          <w:sz w:val="32"/>
          <w:szCs w:val="32"/>
        </w:rPr>
        <w:t xml:space="preserve">Electronic and </w:t>
      </w:r>
      <w:r>
        <w:rPr>
          <w:b/>
          <w:bCs/>
          <w:sz w:val="32"/>
          <w:szCs w:val="32"/>
        </w:rPr>
        <w:t>P</w:t>
      </w:r>
      <w:r w:rsidRPr="00A2000E">
        <w:rPr>
          <w:b/>
          <w:bCs/>
          <w:sz w:val="32"/>
          <w:szCs w:val="32"/>
        </w:rPr>
        <w:t xml:space="preserve">hotophysical </w:t>
      </w:r>
      <w:r>
        <w:rPr>
          <w:b/>
          <w:bCs/>
          <w:sz w:val="32"/>
          <w:szCs w:val="32"/>
        </w:rPr>
        <w:t>P</w:t>
      </w:r>
      <w:r w:rsidRPr="00A2000E">
        <w:rPr>
          <w:b/>
          <w:bCs/>
          <w:sz w:val="32"/>
          <w:szCs w:val="32"/>
        </w:rPr>
        <w:t xml:space="preserve">roperties of </w:t>
      </w:r>
      <w:r>
        <w:rPr>
          <w:b/>
          <w:bCs/>
          <w:sz w:val="32"/>
          <w:szCs w:val="32"/>
        </w:rPr>
        <w:t>D</w:t>
      </w:r>
      <w:r w:rsidRPr="00A2000E">
        <w:rPr>
          <w:b/>
          <w:bCs/>
          <w:sz w:val="32"/>
          <w:szCs w:val="32"/>
        </w:rPr>
        <w:t>erivatives of</w:t>
      </w:r>
      <w:r>
        <w:rPr>
          <w:b/>
          <w:bCs/>
          <w:sz w:val="32"/>
          <w:szCs w:val="32"/>
        </w:rPr>
        <w:t xml:space="preserve"> </w:t>
      </w:r>
      <w:r w:rsidRPr="00A2000E">
        <w:rPr>
          <w:b/>
          <w:bCs/>
          <w:sz w:val="32"/>
          <w:szCs w:val="32"/>
        </w:rPr>
        <w:t>2-</w:t>
      </w:r>
      <w:r>
        <w:rPr>
          <w:b/>
          <w:bCs/>
          <w:sz w:val="32"/>
          <w:szCs w:val="32"/>
        </w:rPr>
        <w:t>P</w:t>
      </w:r>
      <w:r w:rsidRPr="00A2000E">
        <w:rPr>
          <w:b/>
          <w:bCs/>
          <w:sz w:val="32"/>
          <w:szCs w:val="32"/>
        </w:rPr>
        <w:t>henylbenzothiazole and 2-(2´-</w:t>
      </w:r>
      <w:r>
        <w:rPr>
          <w:b/>
          <w:bCs/>
          <w:sz w:val="32"/>
          <w:szCs w:val="32"/>
        </w:rPr>
        <w:t>H</w:t>
      </w:r>
      <w:r w:rsidRPr="00A2000E">
        <w:rPr>
          <w:b/>
          <w:bCs/>
          <w:sz w:val="32"/>
          <w:szCs w:val="32"/>
        </w:rPr>
        <w:t>ydroxyphenyl)</w:t>
      </w:r>
      <w:r>
        <w:rPr>
          <w:b/>
          <w:bCs/>
          <w:sz w:val="32"/>
          <w:szCs w:val="32"/>
        </w:rPr>
        <w:t xml:space="preserve"> </w:t>
      </w:r>
      <w:r w:rsidRPr="00A2000E">
        <w:rPr>
          <w:b/>
          <w:bCs/>
          <w:sz w:val="32"/>
          <w:szCs w:val="32"/>
        </w:rPr>
        <w:t xml:space="preserve">benzothiazole: Effect of </w:t>
      </w:r>
      <w:r>
        <w:rPr>
          <w:b/>
          <w:bCs/>
          <w:sz w:val="32"/>
          <w:szCs w:val="32"/>
        </w:rPr>
        <w:t>I</w:t>
      </w:r>
      <w:r w:rsidRPr="00A2000E">
        <w:rPr>
          <w:b/>
          <w:bCs/>
          <w:sz w:val="32"/>
          <w:szCs w:val="32"/>
        </w:rPr>
        <w:t xml:space="preserve">ntramolecular </w:t>
      </w:r>
      <w:r>
        <w:rPr>
          <w:b/>
          <w:bCs/>
          <w:sz w:val="32"/>
          <w:szCs w:val="32"/>
        </w:rPr>
        <w:t>H</w:t>
      </w:r>
      <w:r w:rsidRPr="00A2000E">
        <w:rPr>
          <w:b/>
          <w:bCs/>
          <w:sz w:val="32"/>
          <w:szCs w:val="32"/>
        </w:rPr>
        <w:t xml:space="preserve">ydrogen </w:t>
      </w:r>
      <w:r>
        <w:rPr>
          <w:b/>
          <w:bCs/>
          <w:sz w:val="32"/>
          <w:szCs w:val="32"/>
        </w:rPr>
        <w:t>B</w:t>
      </w:r>
      <w:r w:rsidRPr="00A2000E">
        <w:rPr>
          <w:b/>
          <w:bCs/>
          <w:sz w:val="32"/>
          <w:szCs w:val="32"/>
        </w:rPr>
        <w:t>onding</w:t>
      </w:r>
    </w:p>
    <w:p w14:paraId="044C2FE6" w14:textId="77777777" w:rsidR="000536B1" w:rsidRDefault="000536B1" w:rsidP="000536B1">
      <w:pPr>
        <w:ind w:firstLine="340"/>
        <w:jc w:val="center"/>
        <w:rPr>
          <w:sz w:val="24"/>
          <w:szCs w:val="24"/>
        </w:rPr>
      </w:pPr>
    </w:p>
    <w:p w14:paraId="1EFEE53E" w14:textId="523069F2" w:rsidR="00A2000E" w:rsidRPr="00A2000E" w:rsidRDefault="00A2000E" w:rsidP="00A2000E">
      <w:pPr>
        <w:ind w:firstLine="340"/>
        <w:jc w:val="center"/>
        <w:rPr>
          <w:b/>
          <w:bCs/>
          <w:sz w:val="24"/>
          <w:szCs w:val="24"/>
        </w:rPr>
      </w:pPr>
      <w:r w:rsidRPr="00A2000E">
        <w:rPr>
          <w:b/>
          <w:bCs/>
          <w:sz w:val="24"/>
          <w:szCs w:val="24"/>
          <w:u w:val="single"/>
        </w:rPr>
        <w:t>Rusrina Salaeh</w:t>
      </w:r>
      <w:r w:rsidRPr="00A2000E">
        <w:rPr>
          <w:b/>
          <w:bCs/>
          <w:sz w:val="24"/>
          <w:szCs w:val="24"/>
        </w:rPr>
        <w:t xml:space="preserve">, Chattarika Sukpattanacharoen, Poowadon Chai-in </w:t>
      </w:r>
    </w:p>
    <w:p w14:paraId="33AD4747" w14:textId="7E8158AF" w:rsidR="00A2000E" w:rsidRPr="00A2000E" w:rsidRDefault="00A2000E" w:rsidP="00A2000E">
      <w:pPr>
        <w:ind w:firstLine="340"/>
        <w:jc w:val="center"/>
        <w:rPr>
          <w:b/>
          <w:bCs/>
          <w:sz w:val="24"/>
          <w:szCs w:val="24"/>
          <w:vertAlign w:val="superscript"/>
          <w:lang w:val="pt-BR"/>
        </w:rPr>
      </w:pPr>
      <w:r w:rsidRPr="00A2000E">
        <w:rPr>
          <w:b/>
          <w:bCs/>
          <w:sz w:val="24"/>
          <w:szCs w:val="24"/>
        </w:rPr>
        <w:t>and Nawee Kungwan*</w:t>
      </w:r>
    </w:p>
    <w:p w14:paraId="2C8F19A3" w14:textId="77777777" w:rsidR="000536B1" w:rsidRPr="00B564A2" w:rsidRDefault="000536B1" w:rsidP="000536B1">
      <w:pPr>
        <w:ind w:firstLine="340"/>
        <w:jc w:val="center"/>
        <w:rPr>
          <w:sz w:val="24"/>
          <w:szCs w:val="24"/>
        </w:rPr>
      </w:pPr>
    </w:p>
    <w:p w14:paraId="08D758E9" w14:textId="2FD4C236" w:rsidR="000536B1" w:rsidRDefault="00A2000E" w:rsidP="000536B1">
      <w:pPr>
        <w:ind w:firstLine="340"/>
        <w:jc w:val="center"/>
        <w:rPr>
          <w:i/>
          <w:iCs/>
          <w:sz w:val="24"/>
          <w:szCs w:val="24"/>
        </w:rPr>
      </w:pPr>
      <w:r w:rsidRPr="00A2000E">
        <w:rPr>
          <w:i/>
          <w:iCs/>
          <w:sz w:val="24"/>
          <w:szCs w:val="24"/>
        </w:rPr>
        <w:t>Department of Chemistry and Center of Excellence for Innovation in Chemistry (PERCH-CIC), Faculty of Science, Chiang Mai University, Chiang Mai 50200, Thailand.</w:t>
      </w:r>
    </w:p>
    <w:p w14:paraId="102B561B" w14:textId="77777777" w:rsidR="00475294" w:rsidRPr="00A2000E" w:rsidRDefault="00475294" w:rsidP="000536B1">
      <w:pPr>
        <w:ind w:firstLine="340"/>
        <w:jc w:val="center"/>
        <w:rPr>
          <w:i/>
          <w:iCs/>
          <w:sz w:val="24"/>
          <w:szCs w:val="24"/>
        </w:rPr>
      </w:pPr>
    </w:p>
    <w:p w14:paraId="3F51CF5C" w14:textId="3D1872AF" w:rsidR="00CF1B02" w:rsidRPr="00475294" w:rsidRDefault="00CF1B02" w:rsidP="00CF1B02">
      <w:pPr>
        <w:pStyle w:val="Addresses"/>
        <w:jc w:val="center"/>
        <w:rPr>
          <w:rFonts w:eastAsia="Malgun Gothic"/>
          <w:lang w:eastAsia="ko-KR"/>
        </w:rPr>
      </w:pPr>
      <w:r>
        <w:rPr>
          <w:vertAlign w:val="superscript"/>
        </w:rPr>
        <w:t xml:space="preserve">*  </w:t>
      </w:r>
      <w:r w:rsidRPr="00CF1B02">
        <w:rPr>
          <w:rFonts w:eastAsia="Malgun Gothic" w:hint="eastAsia"/>
          <w:lang w:eastAsia="ko-KR"/>
        </w:rPr>
        <w:t xml:space="preserve">E-mail: </w:t>
      </w:r>
      <w:r w:rsidR="00A2000E" w:rsidRPr="00475294">
        <w:rPr>
          <w:rFonts w:ascii="Times" w:hAnsi="Times"/>
        </w:rPr>
        <w:t>naweekung@gmail.com</w:t>
      </w:r>
    </w:p>
    <w:p w14:paraId="408CC2A1" w14:textId="6DF4741F" w:rsidR="000536B1" w:rsidRDefault="000536B1" w:rsidP="000536B1">
      <w:pPr>
        <w:ind w:firstLine="340"/>
        <w:rPr>
          <w:sz w:val="24"/>
          <w:szCs w:val="24"/>
        </w:rPr>
      </w:pPr>
    </w:p>
    <w:p w14:paraId="799EE5B9" w14:textId="69BB49CF" w:rsidR="000536B1" w:rsidRDefault="00B32F09" w:rsidP="000536B1">
      <w:pPr>
        <w:rPr>
          <w:sz w:val="24"/>
          <w:szCs w:val="24"/>
        </w:rPr>
      </w:pPr>
      <w:bookmarkStart w:id="0" w:name="_GoBack"/>
      <w:bookmarkEnd w:id="0"/>
      <w:r w:rsidRPr="00B32F09">
        <w:rPr>
          <w:sz w:val="24"/>
          <w:szCs w:val="24"/>
        </w:rPr>
        <w:t>Photophysical properties of 2-phenylbenzothiazole (PBT) denoted as a No-PT type compound and 2-(2´-hydroxyphenyl)benzothiazole (HBT) denoted as a PT type compound as well as their derivatives have been investigated using six different DFT and TD-DFT methods.</w:t>
      </w:r>
      <w:r w:rsidRPr="00B32F09">
        <w:rPr>
          <w:sz w:val="24"/>
          <w:szCs w:val="24"/>
          <w:lang w:val="en-GB"/>
        </w:rPr>
        <w:t xml:space="preserve"> The B3LYP </w:t>
      </w:r>
      <w:r w:rsidRPr="00B32F09">
        <w:rPr>
          <w:sz w:val="24"/>
          <w:szCs w:val="24"/>
        </w:rPr>
        <w:t xml:space="preserve">exchange-correlation functional </w:t>
      </w:r>
      <w:r w:rsidRPr="00B32F09">
        <w:rPr>
          <w:sz w:val="24"/>
          <w:szCs w:val="24"/>
          <w:lang w:val="en-GB"/>
        </w:rPr>
        <w:t xml:space="preserve">with 20% HF exchange </w:t>
      </w:r>
      <w:r w:rsidRPr="00B32F09">
        <w:rPr>
          <w:sz w:val="24"/>
          <w:szCs w:val="24"/>
        </w:rPr>
        <w:t>is found to be the most suitable method for reproducing experimentally photophysical data</w:t>
      </w:r>
      <w:r w:rsidRPr="00B32F09">
        <w:rPr>
          <w:sz w:val="24"/>
          <w:szCs w:val="24"/>
          <w:lang w:val="en-GB"/>
        </w:rPr>
        <w:t xml:space="preserve">. Overall, the simulated absorption and emission spectra of all derivatives are red-shifted </w:t>
      </w:r>
      <w:r w:rsidRPr="00B32F09">
        <w:rPr>
          <w:sz w:val="24"/>
          <w:szCs w:val="24"/>
        </w:rPr>
        <w:t>compared with their parent compounds, PBT and HBT</w:t>
      </w:r>
      <w:r w:rsidRPr="00B32F09">
        <w:rPr>
          <w:sz w:val="24"/>
          <w:szCs w:val="24"/>
          <w:lang w:val="en-GB"/>
        </w:rPr>
        <w:t xml:space="preserve">, except emission spectrum of TPy-1 is blue-shifted. Especially, TPy-3 and HTP-2, of which the carbon atoms at 4,7-positions of the benzothiazole core are replaced by nitrogen atoms and hydrogen atoms in the 2,6-positions are substituted by dimethylamino phenyl groups, show more red-shifted absorption spectra than other compounds </w:t>
      </w:r>
      <w:r w:rsidRPr="00B32F09">
        <w:rPr>
          <w:sz w:val="24"/>
          <w:szCs w:val="24"/>
        </w:rPr>
        <w:t>caused by lone pair electron of nitrogen atoms and electron donating group that has the effect on the π-conjugated system.</w:t>
      </w:r>
      <w:r w:rsidRPr="00B32F09">
        <w:rPr>
          <w:sz w:val="24"/>
          <w:szCs w:val="24"/>
          <w:lang w:val="en-GB"/>
        </w:rPr>
        <w:t xml:space="preserve"> In addition, </w:t>
      </w:r>
      <w:r w:rsidRPr="00B32F09">
        <w:rPr>
          <w:sz w:val="24"/>
          <w:szCs w:val="24"/>
        </w:rPr>
        <w:t>TPy-4 and HTP-3 also have the similar effect on π-conjugated system. As expected, the calculated Stokes shifts of the PT type compounds are larger than that of the No-PT type compounds, because of the tautomer formation through the excited state intramolecular proton transfer (ESIPT) process. The potential energy curves (PECs) scanned along the proton transfer (PT) coordinate of the PT type compounds reveal that the ESIPT process is more likely to proceed in the S</w:t>
      </w:r>
      <w:r w:rsidRPr="00B32F09">
        <w:rPr>
          <w:sz w:val="24"/>
          <w:szCs w:val="24"/>
          <w:vertAlign w:val="subscript"/>
        </w:rPr>
        <w:t>1</w:t>
      </w:r>
      <w:r w:rsidRPr="00B32F09">
        <w:rPr>
          <w:sz w:val="24"/>
          <w:szCs w:val="24"/>
        </w:rPr>
        <w:t xml:space="preserve"> state. The ESIPT process in HBT, HTP and HTP-1 occurs with a small barrier or barrierless, whereas that in HTP-2 and HTP-3 involves a higher barrier. The PT barriers were found to be in the order of HTP ~ HBT &gt; HTP-1 &gt; HTP-2 &gt; HTP-3. The knowledge accumulated through these studies is expected to be useful for the rational design of fluorescent molecular probes.</w:t>
      </w:r>
    </w:p>
    <w:p w14:paraId="510B769F" w14:textId="12F9F524" w:rsidR="00B32F09" w:rsidRDefault="00027787" w:rsidP="00B32F09">
      <w:pPr>
        <w:jc w:val="center"/>
      </w:pPr>
      <w:r w:rsidRPr="00B32F09">
        <w:drawing>
          <wp:inline distT="0" distB="0" distL="0" distR="0" wp14:anchorId="09B5CD31" wp14:editId="168F4FED">
            <wp:extent cx="2781300" cy="16097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609725"/>
                    </a:xfrm>
                    <a:prstGeom prst="rect">
                      <a:avLst/>
                    </a:prstGeom>
                    <a:noFill/>
                    <a:ln>
                      <a:noFill/>
                    </a:ln>
                  </pic:spPr>
                </pic:pic>
              </a:graphicData>
            </a:graphic>
          </wp:inline>
        </w:drawing>
      </w:r>
    </w:p>
    <w:p w14:paraId="68A3238D" w14:textId="330EA346" w:rsidR="00B32F09" w:rsidRDefault="00B32F09" w:rsidP="00B32F09">
      <w:pPr>
        <w:jc w:val="center"/>
        <w:rPr>
          <w:sz w:val="24"/>
          <w:szCs w:val="24"/>
        </w:rPr>
      </w:pPr>
      <w:r>
        <w:rPr>
          <w:b/>
          <w:bCs/>
          <w:spacing w:val="-3"/>
          <w:lang w:val="en-GB" w:eastAsia="ar-SA"/>
        </w:rPr>
        <w:t xml:space="preserve">Figure 1. </w:t>
      </w:r>
      <w:r w:rsidRPr="00027787">
        <w:rPr>
          <w:spacing w:val="-3"/>
          <w:lang w:val="en-GB" w:eastAsia="ar-SA"/>
        </w:rPr>
        <w:t>Photocycle of (a) molecules without proton transfer (No-PT type) and (b) molecules with intramolecular proton transfer (PT type)</w:t>
      </w:r>
    </w:p>
    <w:p w14:paraId="2D357FE2" w14:textId="77777777" w:rsidR="00B32F09" w:rsidRDefault="00B32F09" w:rsidP="00B32F09">
      <w:pPr>
        <w:pStyle w:val="BodyText9"/>
        <w:pBdr>
          <w:top w:val="none" w:sz="0" w:space="0" w:color="auto"/>
          <w:bottom w:val="none" w:sz="0" w:space="0" w:color="auto"/>
        </w:pBdr>
        <w:ind w:left="0"/>
        <w:rPr>
          <w:rFonts w:ascii="Times New Roman" w:hAnsi="Times New Roman"/>
          <w:b/>
          <w:bCs/>
          <w:sz w:val="24"/>
          <w:szCs w:val="24"/>
          <w:lang w:val="en-GB"/>
        </w:rPr>
      </w:pPr>
      <w:r>
        <w:rPr>
          <w:rFonts w:ascii="Times New Roman" w:hAnsi="Times New Roman"/>
          <w:b/>
          <w:bCs/>
          <w:sz w:val="24"/>
          <w:szCs w:val="24"/>
          <w:lang w:val="en-GB"/>
        </w:rPr>
        <w:t>REFERENCES</w:t>
      </w:r>
    </w:p>
    <w:p w14:paraId="06F85663" w14:textId="2AD7E8FD" w:rsidR="00B32F09" w:rsidRPr="0044558D" w:rsidRDefault="00027787" w:rsidP="00B32F09">
      <w:pPr>
        <w:pStyle w:val="List1"/>
        <w:numPr>
          <w:ilvl w:val="0"/>
          <w:numId w:val="0"/>
        </w:numPr>
        <w:rPr>
          <w:rFonts w:ascii="Times New Roman" w:hAnsi="Times New Roman"/>
          <w:sz w:val="22"/>
          <w:szCs w:val="22"/>
        </w:rPr>
      </w:pPr>
      <w:r>
        <w:rPr>
          <w:rFonts w:ascii="Times New Roman" w:hAnsi="Times New Roman"/>
          <w:sz w:val="22"/>
          <w:szCs w:val="22"/>
        </w:rPr>
        <w:t xml:space="preserve">[1] </w:t>
      </w:r>
      <w:r w:rsidR="00B32F09" w:rsidRPr="0044558D">
        <w:rPr>
          <w:rFonts w:ascii="Times New Roman" w:hAnsi="Times New Roman"/>
          <w:sz w:val="22"/>
          <w:szCs w:val="22"/>
        </w:rPr>
        <w:t>Kwon, J. E.</w:t>
      </w:r>
      <w:r w:rsidR="00B32F09">
        <w:rPr>
          <w:rFonts w:ascii="Times New Roman" w:hAnsi="Times New Roman"/>
          <w:sz w:val="22"/>
          <w:szCs w:val="22"/>
        </w:rPr>
        <w:t xml:space="preserve">, </w:t>
      </w:r>
      <w:r w:rsidR="00B32F09" w:rsidRPr="0044558D">
        <w:rPr>
          <w:rFonts w:ascii="Times New Roman" w:hAnsi="Times New Roman"/>
          <w:sz w:val="22"/>
          <w:szCs w:val="22"/>
        </w:rPr>
        <w:t xml:space="preserve">Park, S. Y., </w:t>
      </w:r>
      <w:r w:rsidR="00B32F09" w:rsidRPr="0044558D">
        <w:rPr>
          <w:rFonts w:ascii="Times New Roman" w:hAnsi="Times New Roman"/>
          <w:i/>
          <w:iCs/>
          <w:sz w:val="22"/>
          <w:szCs w:val="22"/>
        </w:rPr>
        <w:t>Adv. Mater</w:t>
      </w:r>
      <w:r w:rsidR="00B32F09" w:rsidRPr="0044558D">
        <w:rPr>
          <w:rFonts w:ascii="Times New Roman" w:hAnsi="Times New Roman"/>
          <w:sz w:val="22"/>
          <w:szCs w:val="22"/>
        </w:rPr>
        <w:t xml:space="preserve">. 2011, </w:t>
      </w:r>
      <w:r w:rsidR="00B32F09" w:rsidRPr="0044558D">
        <w:rPr>
          <w:rFonts w:ascii="Times New Roman" w:hAnsi="Times New Roman"/>
          <w:b/>
          <w:bCs/>
          <w:sz w:val="22"/>
          <w:szCs w:val="22"/>
        </w:rPr>
        <w:t>23</w:t>
      </w:r>
      <w:r w:rsidR="00B32F09" w:rsidRPr="0044558D">
        <w:rPr>
          <w:rFonts w:ascii="Times New Roman" w:hAnsi="Times New Roman"/>
          <w:sz w:val="22"/>
          <w:szCs w:val="22"/>
        </w:rPr>
        <w:t>, 3615-3642.</w:t>
      </w:r>
    </w:p>
    <w:p w14:paraId="34AEDB23" w14:textId="77777777" w:rsidR="00027787" w:rsidRDefault="00027787" w:rsidP="00B32F09">
      <w:pPr>
        <w:pStyle w:val="List1"/>
        <w:numPr>
          <w:ilvl w:val="0"/>
          <w:numId w:val="0"/>
        </w:numPr>
        <w:rPr>
          <w:rFonts w:ascii="Times New Roman" w:hAnsi="Times New Roman"/>
          <w:sz w:val="22"/>
          <w:szCs w:val="22"/>
        </w:rPr>
      </w:pPr>
      <w:r>
        <w:rPr>
          <w:rFonts w:ascii="Times New Roman" w:hAnsi="Times New Roman"/>
          <w:sz w:val="22"/>
          <w:szCs w:val="22"/>
        </w:rPr>
        <w:t xml:space="preserve">[2] </w:t>
      </w:r>
      <w:r w:rsidR="00B32F09" w:rsidRPr="0044558D">
        <w:rPr>
          <w:rFonts w:ascii="Times New Roman" w:hAnsi="Times New Roman"/>
          <w:sz w:val="22"/>
          <w:szCs w:val="22"/>
        </w:rPr>
        <w:t>Nakagawa, T.</w:t>
      </w:r>
      <w:r w:rsidR="00B32F09">
        <w:rPr>
          <w:rFonts w:ascii="Times New Roman" w:hAnsi="Times New Roman"/>
          <w:sz w:val="22"/>
          <w:szCs w:val="22"/>
        </w:rPr>
        <w:t>,</w:t>
      </w:r>
      <w:r w:rsidR="00B32F09" w:rsidRPr="0044558D">
        <w:rPr>
          <w:rFonts w:ascii="Times New Roman" w:hAnsi="Times New Roman"/>
          <w:sz w:val="22"/>
          <w:szCs w:val="22"/>
        </w:rPr>
        <w:t xml:space="preserve"> </w:t>
      </w:r>
      <w:proofErr w:type="spellStart"/>
      <w:r w:rsidR="00B32F09" w:rsidRPr="0044558D">
        <w:rPr>
          <w:rFonts w:ascii="Times New Roman" w:hAnsi="Times New Roman"/>
          <w:sz w:val="22"/>
          <w:szCs w:val="22"/>
        </w:rPr>
        <w:t>Yamaji</w:t>
      </w:r>
      <w:proofErr w:type="spellEnd"/>
      <w:r w:rsidR="00B32F09" w:rsidRPr="0044558D">
        <w:rPr>
          <w:rFonts w:ascii="Times New Roman" w:hAnsi="Times New Roman"/>
          <w:sz w:val="22"/>
          <w:szCs w:val="22"/>
        </w:rPr>
        <w:t>, M.</w:t>
      </w:r>
      <w:r w:rsidR="00B32F09">
        <w:rPr>
          <w:rFonts w:ascii="Times New Roman" w:hAnsi="Times New Roman"/>
          <w:sz w:val="22"/>
          <w:szCs w:val="22"/>
        </w:rPr>
        <w:t>,</w:t>
      </w:r>
      <w:r w:rsidR="00B32F09" w:rsidRPr="0044558D">
        <w:rPr>
          <w:rFonts w:ascii="Times New Roman" w:hAnsi="Times New Roman"/>
          <w:sz w:val="22"/>
          <w:szCs w:val="22"/>
        </w:rPr>
        <w:t xml:space="preserve"> Maki, S.</w:t>
      </w:r>
      <w:r w:rsidR="00B32F09">
        <w:rPr>
          <w:rFonts w:ascii="Times New Roman" w:hAnsi="Times New Roman"/>
          <w:sz w:val="22"/>
          <w:szCs w:val="22"/>
        </w:rPr>
        <w:t>,</w:t>
      </w:r>
      <w:r w:rsidR="00B32F09" w:rsidRPr="0044558D">
        <w:rPr>
          <w:rFonts w:ascii="Times New Roman" w:hAnsi="Times New Roman"/>
          <w:sz w:val="22"/>
          <w:szCs w:val="22"/>
        </w:rPr>
        <w:t xml:space="preserve"> </w:t>
      </w:r>
      <w:proofErr w:type="spellStart"/>
      <w:r w:rsidR="00B32F09" w:rsidRPr="0044558D">
        <w:rPr>
          <w:rFonts w:ascii="Times New Roman" w:hAnsi="Times New Roman"/>
          <w:sz w:val="22"/>
          <w:szCs w:val="22"/>
        </w:rPr>
        <w:t>Niwa</w:t>
      </w:r>
      <w:proofErr w:type="spellEnd"/>
      <w:r w:rsidR="00B32F09" w:rsidRPr="0044558D">
        <w:rPr>
          <w:rFonts w:ascii="Times New Roman" w:hAnsi="Times New Roman"/>
          <w:sz w:val="22"/>
          <w:szCs w:val="22"/>
        </w:rPr>
        <w:t>, H.</w:t>
      </w:r>
      <w:r w:rsidR="00B32F09">
        <w:rPr>
          <w:rFonts w:ascii="Times New Roman" w:hAnsi="Times New Roman"/>
          <w:sz w:val="22"/>
          <w:szCs w:val="22"/>
        </w:rPr>
        <w:t>,</w:t>
      </w:r>
      <w:r w:rsidR="00B32F09" w:rsidRPr="0044558D">
        <w:rPr>
          <w:rFonts w:ascii="Times New Roman" w:hAnsi="Times New Roman"/>
          <w:sz w:val="22"/>
          <w:szCs w:val="22"/>
        </w:rPr>
        <w:t xml:space="preserve"> Hirano, T., </w:t>
      </w:r>
      <w:proofErr w:type="spellStart"/>
      <w:r w:rsidR="00B32F09" w:rsidRPr="0044558D">
        <w:rPr>
          <w:rFonts w:ascii="Times New Roman" w:hAnsi="Times New Roman"/>
          <w:i/>
          <w:iCs/>
          <w:sz w:val="22"/>
          <w:szCs w:val="22"/>
        </w:rPr>
        <w:t>Photochem</w:t>
      </w:r>
      <w:proofErr w:type="spellEnd"/>
      <w:r w:rsidR="00B32F09" w:rsidRPr="0044558D">
        <w:rPr>
          <w:rFonts w:ascii="Times New Roman" w:hAnsi="Times New Roman"/>
          <w:i/>
          <w:iCs/>
          <w:sz w:val="22"/>
          <w:szCs w:val="22"/>
        </w:rPr>
        <w:t xml:space="preserve">. </w:t>
      </w:r>
      <w:proofErr w:type="spellStart"/>
      <w:r w:rsidR="00B32F09" w:rsidRPr="0044558D">
        <w:rPr>
          <w:rFonts w:ascii="Times New Roman" w:hAnsi="Times New Roman"/>
          <w:i/>
          <w:iCs/>
          <w:sz w:val="22"/>
          <w:szCs w:val="22"/>
        </w:rPr>
        <w:t>Photobiol</w:t>
      </w:r>
      <w:proofErr w:type="spellEnd"/>
      <w:r w:rsidR="00B32F09" w:rsidRPr="0044558D">
        <w:rPr>
          <w:rFonts w:ascii="Times New Roman" w:hAnsi="Times New Roman"/>
          <w:i/>
          <w:iCs/>
          <w:sz w:val="22"/>
          <w:szCs w:val="22"/>
        </w:rPr>
        <w:t>. Sci</w:t>
      </w:r>
      <w:r w:rsidR="00B32F09" w:rsidRPr="0044558D">
        <w:rPr>
          <w:rFonts w:ascii="Times New Roman" w:hAnsi="Times New Roman"/>
          <w:sz w:val="22"/>
          <w:szCs w:val="22"/>
        </w:rPr>
        <w:t>.</w:t>
      </w:r>
      <w:r>
        <w:rPr>
          <w:rFonts w:ascii="Times New Roman" w:hAnsi="Times New Roman"/>
          <w:sz w:val="22"/>
          <w:szCs w:val="22"/>
        </w:rPr>
        <w:t xml:space="preserve"> </w:t>
      </w:r>
    </w:p>
    <w:p w14:paraId="0016D4B5" w14:textId="66B12548" w:rsidR="00B32F09" w:rsidRPr="0044558D" w:rsidRDefault="00027787" w:rsidP="00B32F09">
      <w:pPr>
        <w:pStyle w:val="List1"/>
        <w:numPr>
          <w:ilvl w:val="0"/>
          <w:numId w:val="0"/>
        </w:numPr>
        <w:rPr>
          <w:rFonts w:ascii="Times New Roman" w:hAnsi="Times New Roman"/>
          <w:sz w:val="22"/>
          <w:szCs w:val="22"/>
        </w:rPr>
      </w:pPr>
      <w:r>
        <w:rPr>
          <w:rFonts w:ascii="Times New Roman" w:hAnsi="Times New Roman"/>
          <w:sz w:val="22"/>
          <w:szCs w:val="22"/>
        </w:rPr>
        <w:t xml:space="preserve">      </w:t>
      </w:r>
      <w:r w:rsidR="00B32F09" w:rsidRPr="0044558D">
        <w:rPr>
          <w:rFonts w:ascii="Times New Roman" w:hAnsi="Times New Roman"/>
          <w:sz w:val="22"/>
          <w:szCs w:val="22"/>
        </w:rPr>
        <w:t xml:space="preserve">2014, </w:t>
      </w:r>
      <w:r w:rsidR="00B32F09" w:rsidRPr="0044558D">
        <w:rPr>
          <w:rFonts w:ascii="Times New Roman" w:hAnsi="Times New Roman"/>
          <w:b/>
          <w:bCs/>
          <w:sz w:val="22"/>
          <w:szCs w:val="22"/>
        </w:rPr>
        <w:t>13</w:t>
      </w:r>
      <w:r w:rsidR="00B32F09" w:rsidRPr="0044558D">
        <w:rPr>
          <w:rFonts w:ascii="Times New Roman" w:hAnsi="Times New Roman"/>
          <w:sz w:val="22"/>
          <w:szCs w:val="22"/>
        </w:rPr>
        <w:t>, 1765-1772.</w:t>
      </w:r>
    </w:p>
    <w:p w14:paraId="7EE88CAD" w14:textId="77777777" w:rsidR="00027787" w:rsidRDefault="00027787" w:rsidP="00B32F09">
      <w:pPr>
        <w:pStyle w:val="List1"/>
        <w:numPr>
          <w:ilvl w:val="0"/>
          <w:numId w:val="0"/>
        </w:numPr>
        <w:rPr>
          <w:rFonts w:ascii="Times New Roman" w:hAnsi="Times New Roman"/>
          <w:sz w:val="22"/>
          <w:szCs w:val="22"/>
        </w:rPr>
      </w:pPr>
      <w:r>
        <w:rPr>
          <w:rFonts w:ascii="Times New Roman" w:hAnsi="Times New Roman"/>
          <w:sz w:val="22"/>
          <w:szCs w:val="22"/>
        </w:rPr>
        <w:t xml:space="preserve">[3] </w:t>
      </w:r>
      <w:r w:rsidR="00B32F09" w:rsidRPr="0044558D">
        <w:rPr>
          <w:rFonts w:ascii="Times New Roman" w:hAnsi="Times New Roman"/>
          <w:sz w:val="22"/>
          <w:szCs w:val="22"/>
        </w:rPr>
        <w:t>Suzuki, Y.</w:t>
      </w:r>
      <w:r w:rsidR="00B32F09">
        <w:rPr>
          <w:rFonts w:ascii="Times New Roman" w:hAnsi="Times New Roman"/>
          <w:sz w:val="22"/>
          <w:szCs w:val="22"/>
        </w:rPr>
        <w:t>,</w:t>
      </w:r>
      <w:r w:rsidR="00B32F09" w:rsidRPr="0044558D">
        <w:rPr>
          <w:rFonts w:ascii="Times New Roman" w:hAnsi="Times New Roman"/>
          <w:sz w:val="22"/>
          <w:szCs w:val="22"/>
        </w:rPr>
        <w:t xml:space="preserve"> </w:t>
      </w:r>
      <w:proofErr w:type="spellStart"/>
      <w:r w:rsidR="00B32F09" w:rsidRPr="0044558D">
        <w:rPr>
          <w:rFonts w:ascii="Times New Roman" w:hAnsi="Times New Roman"/>
          <w:sz w:val="22"/>
          <w:szCs w:val="22"/>
        </w:rPr>
        <w:t>Yamaji</w:t>
      </w:r>
      <w:proofErr w:type="spellEnd"/>
      <w:r w:rsidR="00B32F09" w:rsidRPr="0044558D">
        <w:rPr>
          <w:rFonts w:ascii="Times New Roman" w:hAnsi="Times New Roman"/>
          <w:sz w:val="22"/>
          <w:szCs w:val="22"/>
        </w:rPr>
        <w:t>, M.</w:t>
      </w:r>
      <w:r w:rsidR="00B32F09">
        <w:rPr>
          <w:rFonts w:ascii="Times New Roman" w:hAnsi="Times New Roman"/>
          <w:sz w:val="22"/>
          <w:szCs w:val="22"/>
        </w:rPr>
        <w:t>,</w:t>
      </w:r>
      <w:r w:rsidR="00B32F09" w:rsidRPr="0044558D">
        <w:rPr>
          <w:rFonts w:ascii="Times New Roman" w:hAnsi="Times New Roman"/>
          <w:sz w:val="22"/>
          <w:szCs w:val="22"/>
        </w:rPr>
        <w:t xml:space="preserve"> Maki, S.</w:t>
      </w:r>
      <w:r w:rsidR="00B32F09">
        <w:rPr>
          <w:rFonts w:ascii="Times New Roman" w:hAnsi="Times New Roman"/>
          <w:sz w:val="22"/>
          <w:szCs w:val="22"/>
        </w:rPr>
        <w:t>,</w:t>
      </w:r>
      <w:r w:rsidR="00B32F09" w:rsidRPr="0044558D">
        <w:rPr>
          <w:rFonts w:ascii="Times New Roman" w:hAnsi="Times New Roman"/>
          <w:sz w:val="22"/>
          <w:szCs w:val="22"/>
        </w:rPr>
        <w:t xml:space="preserve"> Hirano, T., </w:t>
      </w:r>
      <w:r w:rsidR="00B32F09" w:rsidRPr="0044558D">
        <w:rPr>
          <w:rFonts w:ascii="Times New Roman" w:hAnsi="Times New Roman"/>
          <w:i/>
          <w:iCs/>
          <w:sz w:val="22"/>
          <w:szCs w:val="22"/>
        </w:rPr>
        <w:t xml:space="preserve">J. </w:t>
      </w:r>
      <w:proofErr w:type="spellStart"/>
      <w:r w:rsidR="00B32F09" w:rsidRPr="0044558D">
        <w:rPr>
          <w:rFonts w:ascii="Times New Roman" w:hAnsi="Times New Roman"/>
          <w:i/>
          <w:iCs/>
          <w:sz w:val="22"/>
          <w:szCs w:val="22"/>
        </w:rPr>
        <w:t>Photochem</w:t>
      </w:r>
      <w:proofErr w:type="spellEnd"/>
      <w:r w:rsidR="00B32F09" w:rsidRPr="0044558D">
        <w:rPr>
          <w:rFonts w:ascii="Times New Roman" w:hAnsi="Times New Roman"/>
          <w:i/>
          <w:iCs/>
          <w:sz w:val="22"/>
          <w:szCs w:val="22"/>
        </w:rPr>
        <w:t xml:space="preserve">. </w:t>
      </w:r>
      <w:proofErr w:type="spellStart"/>
      <w:r w:rsidR="00B32F09" w:rsidRPr="0044558D">
        <w:rPr>
          <w:rFonts w:ascii="Times New Roman" w:hAnsi="Times New Roman"/>
          <w:i/>
          <w:iCs/>
          <w:sz w:val="22"/>
          <w:szCs w:val="22"/>
        </w:rPr>
        <w:t>Photobiol</w:t>
      </w:r>
      <w:proofErr w:type="spellEnd"/>
      <w:r w:rsidR="00B32F09" w:rsidRPr="0044558D">
        <w:rPr>
          <w:rFonts w:ascii="Times New Roman" w:hAnsi="Times New Roman"/>
          <w:i/>
          <w:iCs/>
          <w:sz w:val="22"/>
          <w:szCs w:val="22"/>
        </w:rPr>
        <w:t>. A: Chemistry</w:t>
      </w:r>
      <w:r w:rsidR="00B32F09" w:rsidRPr="0044558D">
        <w:rPr>
          <w:rFonts w:ascii="Times New Roman" w:hAnsi="Times New Roman"/>
          <w:sz w:val="22"/>
          <w:szCs w:val="22"/>
        </w:rPr>
        <w:t xml:space="preserve"> </w:t>
      </w:r>
      <w:r w:rsidR="00B32F09">
        <w:rPr>
          <w:rFonts w:ascii="Times New Roman" w:hAnsi="Times New Roman"/>
          <w:sz w:val="22"/>
          <w:szCs w:val="22"/>
        </w:rPr>
        <w:tab/>
      </w:r>
      <w:r w:rsidR="00B32F09" w:rsidRPr="0044558D">
        <w:rPr>
          <w:rFonts w:ascii="Times New Roman" w:hAnsi="Times New Roman"/>
          <w:sz w:val="22"/>
          <w:szCs w:val="22"/>
        </w:rPr>
        <w:t xml:space="preserve">2016, </w:t>
      </w:r>
    </w:p>
    <w:p w14:paraId="06EAD4D6" w14:textId="675DC4DC" w:rsidR="00B32F09" w:rsidRDefault="00027787" w:rsidP="00B32F09">
      <w:pPr>
        <w:pStyle w:val="List1"/>
        <w:numPr>
          <w:ilvl w:val="0"/>
          <w:numId w:val="0"/>
        </w:numPr>
        <w:rPr>
          <w:rFonts w:ascii="Times New Roman" w:hAnsi="Times New Roman"/>
          <w:sz w:val="22"/>
          <w:szCs w:val="22"/>
        </w:rPr>
      </w:pPr>
      <w:r>
        <w:rPr>
          <w:rFonts w:ascii="Times New Roman" w:hAnsi="Times New Roman"/>
          <w:b/>
          <w:bCs/>
          <w:sz w:val="22"/>
          <w:szCs w:val="22"/>
        </w:rPr>
        <w:t xml:space="preserve">      </w:t>
      </w:r>
      <w:r w:rsidR="00B32F09" w:rsidRPr="0044558D">
        <w:rPr>
          <w:rFonts w:ascii="Times New Roman" w:hAnsi="Times New Roman"/>
          <w:b/>
          <w:bCs/>
          <w:sz w:val="22"/>
          <w:szCs w:val="22"/>
        </w:rPr>
        <w:t>314</w:t>
      </w:r>
      <w:r w:rsidR="00B32F09" w:rsidRPr="0044558D">
        <w:rPr>
          <w:rFonts w:ascii="Times New Roman" w:hAnsi="Times New Roman"/>
          <w:sz w:val="22"/>
          <w:szCs w:val="22"/>
        </w:rPr>
        <w:t>, 93-95</w:t>
      </w:r>
      <w:r w:rsidR="00B32F09" w:rsidRPr="00B32F09">
        <w:rPr>
          <w:rFonts w:ascii="Times New Roman" w:hAnsi="Times New Roman" w:cs="Cordia New" w:hint="cs"/>
          <w:sz w:val="22"/>
          <w:szCs w:val="22"/>
          <w:cs/>
        </w:rPr>
        <w:t>.</w:t>
      </w:r>
    </w:p>
    <w:sectPr w:rsidR="00B32F09" w:rsidSect="00475294">
      <w:headerReference w:type="even" r:id="rId8"/>
      <w:headerReference w:type="default" r:id="rId9"/>
      <w:footerReference w:type="even" r:id="rId10"/>
      <w:footerReference w:type="default" r:id="rId11"/>
      <w:headerReference w:type="first" r:id="rId12"/>
      <w:footerReference w:type="first" r:id="rId13"/>
      <w:pgSz w:w="11900" w:h="16840"/>
      <w:pgMar w:top="1170" w:right="1550" w:bottom="1170" w:left="1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C6ED" w14:textId="77777777" w:rsidR="00614320" w:rsidRDefault="00614320">
      <w:r>
        <w:separator/>
      </w:r>
    </w:p>
  </w:endnote>
  <w:endnote w:type="continuationSeparator" w:id="0">
    <w:p w14:paraId="6A8604C1" w14:textId="77777777" w:rsidR="00614320" w:rsidRDefault="0061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307A" w14:textId="77777777" w:rsidR="00461ACD" w:rsidRDefault="00461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AA94" w14:textId="77777777"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8ECC" w14:textId="77777777" w:rsidR="00461ACD" w:rsidRDefault="0046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0AA48" w14:textId="77777777" w:rsidR="00614320" w:rsidRDefault="00614320">
      <w:r>
        <w:separator/>
      </w:r>
    </w:p>
  </w:footnote>
  <w:footnote w:type="continuationSeparator" w:id="0">
    <w:p w14:paraId="089055D2" w14:textId="77777777" w:rsidR="00614320" w:rsidRDefault="0061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7DB4" w14:textId="77777777" w:rsidR="00461ACD" w:rsidRDefault="00461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3E1B" w14:textId="77777777" w:rsidR="00461ACD" w:rsidRDefault="00461ACD" w:rsidP="00461AC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60DF" w14:textId="77777777" w:rsidR="00461ACD" w:rsidRDefault="00461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pStyle w:val="List1"/>
      <w:lvlText w:val="%1."/>
      <w:lvlJc w:val="left"/>
      <w:pPr>
        <w:tabs>
          <w:tab w:val="num" w:pos="425"/>
        </w:tabs>
        <w:ind w:left="425" w:hanging="141"/>
      </w:pPr>
    </w:lvl>
  </w:abstractNum>
  <w:abstractNum w:abstractNumId="2"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B1"/>
    <w:rsid w:val="00027787"/>
    <w:rsid w:val="000536B1"/>
    <w:rsid w:val="000810B3"/>
    <w:rsid w:val="001B1483"/>
    <w:rsid w:val="001C185F"/>
    <w:rsid w:val="001C6173"/>
    <w:rsid w:val="0024600D"/>
    <w:rsid w:val="00255054"/>
    <w:rsid w:val="0027021A"/>
    <w:rsid w:val="0031101C"/>
    <w:rsid w:val="003A5E28"/>
    <w:rsid w:val="00461ACD"/>
    <w:rsid w:val="00475294"/>
    <w:rsid w:val="00487B7B"/>
    <w:rsid w:val="00506870"/>
    <w:rsid w:val="00614320"/>
    <w:rsid w:val="00615ADD"/>
    <w:rsid w:val="00616DD5"/>
    <w:rsid w:val="006726C9"/>
    <w:rsid w:val="006A3327"/>
    <w:rsid w:val="006F5984"/>
    <w:rsid w:val="00701806"/>
    <w:rsid w:val="007F5B4F"/>
    <w:rsid w:val="00834E39"/>
    <w:rsid w:val="0090048D"/>
    <w:rsid w:val="009730D8"/>
    <w:rsid w:val="009F2E77"/>
    <w:rsid w:val="00A04E8A"/>
    <w:rsid w:val="00A2000E"/>
    <w:rsid w:val="00B03727"/>
    <w:rsid w:val="00B32F09"/>
    <w:rsid w:val="00B571E0"/>
    <w:rsid w:val="00C004AC"/>
    <w:rsid w:val="00C16377"/>
    <w:rsid w:val="00C93A9D"/>
    <w:rsid w:val="00CE1C5B"/>
    <w:rsid w:val="00CF1B02"/>
    <w:rsid w:val="00D537F5"/>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764CA"/>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3"/>
    <w:rPr>
      <w:rFonts w:ascii="Cambria" w:hAnsi="Cambria"/>
      <w:sz w:val="18"/>
      <w:szCs w:val="18"/>
      <w:lang w:val="x-none"/>
    </w:rPr>
  </w:style>
  <w:style w:type="character" w:customStyle="1" w:styleId="BalloonTextChar">
    <w:name w:val="Balloon Text Char"/>
    <w:link w:val="BalloonText"/>
    <w:uiPriority w:val="99"/>
    <w:semiHidden/>
    <w:rsid w:val="000810B3"/>
    <w:rPr>
      <w:rFonts w:ascii="Cambria" w:eastAsia="PMingLiU" w:hAnsi="Cambria" w:cs="Times New Roman"/>
      <w:noProof/>
      <w:sz w:val="18"/>
      <w:szCs w:val="18"/>
      <w:lang w:eastAsia="en-US"/>
    </w:rPr>
  </w:style>
  <w:style w:type="paragraph" w:styleId="Header">
    <w:name w:val="header"/>
    <w:basedOn w:val="Normal"/>
    <w:link w:val="HeaderChar"/>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461ACD"/>
    <w:rPr>
      <w:rFonts w:ascii="Times New Roman" w:eastAsia="PMingLiU" w:hAnsi="Times New Roman"/>
      <w:noProof/>
      <w:sz w:val="18"/>
      <w:szCs w:val="18"/>
      <w:lang w:eastAsia="en-US"/>
    </w:rPr>
  </w:style>
  <w:style w:type="paragraph" w:styleId="Footer">
    <w:name w:val="footer"/>
    <w:basedOn w:val="Normal"/>
    <w:link w:val="FooterChar"/>
    <w:uiPriority w:val="99"/>
    <w:semiHidden/>
    <w:unhideWhenUsed/>
    <w:rsid w:val="00461ACD"/>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461ACD"/>
    <w:rPr>
      <w:rFonts w:ascii="Times New Roman" w:eastAsia="PMingLiU" w:hAnsi="Times New Roman"/>
      <w:noProof/>
      <w:sz w:val="18"/>
      <w:szCs w:val="18"/>
      <w:lang w:eastAsia="en-US"/>
    </w:rPr>
  </w:style>
  <w:style w:type="character" w:styleId="Hyperlink">
    <w:name w:val="Hyperlink"/>
    <w:uiPriority w:val="99"/>
    <w:unhideWhenUsed/>
    <w:rsid w:val="00461ACD"/>
    <w:rPr>
      <w:color w:val="0000FF"/>
      <w:u w:val="single"/>
    </w:rPr>
  </w:style>
  <w:style w:type="character" w:styleId="FollowedHyperlink">
    <w:name w:val="FollowedHyperlink"/>
    <w:uiPriority w:val="99"/>
    <w:semiHidden/>
    <w:unhideWhenUsed/>
    <w:rsid w:val="00A04E8A"/>
    <w:rPr>
      <w:color w:val="954F72"/>
      <w:u w:val="single"/>
    </w:rPr>
  </w:style>
  <w:style w:type="character"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Normal"/>
    <w:rsid w:val="00CF1B02"/>
    <w:pPr>
      <w:autoSpaceDE/>
      <w:autoSpaceDN/>
      <w:adjustRightInd/>
      <w:jc w:val="left"/>
    </w:pPr>
    <w:rPr>
      <w:rFonts w:eastAsia="MS Mincho"/>
      <w:noProof w:val="0"/>
      <w:sz w:val="24"/>
      <w:szCs w:val="24"/>
      <w:lang w:eastAsia="ja-JP"/>
    </w:rPr>
  </w:style>
  <w:style w:type="paragraph" w:customStyle="1" w:styleId="List1">
    <w:name w:val="List 1"/>
    <w:basedOn w:val="Normal"/>
    <w:rsid w:val="00B32F09"/>
    <w:pPr>
      <w:numPr>
        <w:numId w:val="4"/>
      </w:numPr>
      <w:suppressAutoHyphens/>
      <w:autoSpaceDE/>
      <w:autoSpaceDN/>
      <w:adjustRightInd/>
      <w:spacing w:after="40"/>
      <w:ind w:left="340" w:hanging="113"/>
      <w:jc w:val="left"/>
    </w:pPr>
    <w:rPr>
      <w:rFonts w:ascii="Arial Narrow" w:eastAsia="Cordia New" w:hAnsi="Arial Narrow"/>
      <w:noProof w:val="0"/>
      <w:sz w:val="14"/>
      <w:szCs w:val="14"/>
      <w:lang w:eastAsia="th-TH" w:bidi="th-TH"/>
    </w:rPr>
  </w:style>
  <w:style w:type="paragraph" w:customStyle="1" w:styleId="BodyText9">
    <w:name w:val="Body Text 9"/>
    <w:basedOn w:val="Normal"/>
    <w:next w:val="Normal"/>
    <w:rsid w:val="00B32F09"/>
    <w:pPr>
      <w:pBdr>
        <w:top w:val="single" w:sz="4" w:space="3" w:color="000000"/>
        <w:bottom w:val="single" w:sz="4" w:space="3" w:color="000000"/>
      </w:pBdr>
      <w:suppressAutoHyphens/>
      <w:autoSpaceDE/>
      <w:autoSpaceDN/>
      <w:adjustRightInd/>
      <w:ind w:left="624"/>
    </w:pPr>
    <w:rPr>
      <w:rFonts w:ascii="Arial" w:eastAsia="Cordia New" w:hAnsi="Arial"/>
      <w:noProof w:val="0"/>
      <w:sz w:val="14"/>
      <w:szCs w:val="14"/>
      <w:lang w:eastAsia="th-TH"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2332</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RUSRINA SALAEH</cp:lastModifiedBy>
  <cp:revision>4</cp:revision>
  <cp:lastPrinted>2012-08-01T05:35:00Z</cp:lastPrinted>
  <dcterms:created xsi:type="dcterms:W3CDTF">2018-08-10T12:11:00Z</dcterms:created>
  <dcterms:modified xsi:type="dcterms:W3CDTF">2018-08-10T12:14:00Z</dcterms:modified>
  <cp:category/>
</cp:coreProperties>
</file>